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79C" w:rsidRDefault="00D6179C" w:rsidP="00D6179C">
      <w:pPr>
        <w:pStyle w:val="BodyText"/>
        <w:ind w:left="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BADM </w:t>
      </w:r>
      <w:r>
        <w:rPr>
          <w:b/>
          <w:sz w:val="28"/>
          <w:szCs w:val="28"/>
        </w:rPr>
        <w:t>395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Service </w:t>
      </w:r>
      <w:r>
        <w:rPr>
          <w:b/>
          <w:sz w:val="28"/>
          <w:szCs w:val="28"/>
        </w:rPr>
        <w:t>Operations Management</w:t>
      </w:r>
    </w:p>
    <w:p w:rsidR="00D6179C" w:rsidRDefault="00D6179C" w:rsidP="00D6179C">
      <w:pPr>
        <w:pStyle w:val="BodyText"/>
        <w:ind w:left="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</w:p>
    <w:p w:rsidR="00D6179C" w:rsidRDefault="00D6179C" w:rsidP="00D6179C">
      <w:pPr>
        <w:pStyle w:val="BodyText"/>
        <w:ind w:left="97"/>
        <w:jc w:val="center"/>
        <w:rPr>
          <w:b/>
          <w:sz w:val="28"/>
          <w:szCs w:val="28"/>
        </w:rPr>
      </w:pPr>
    </w:p>
    <w:p w:rsidR="00D6179C" w:rsidRDefault="00D6179C" w:rsidP="00D6179C">
      <w:pPr>
        <w:spacing w:before="174" w:line="340" w:lineRule="auto"/>
        <w:ind w:left="90" w:hanging="90"/>
        <w:rPr>
          <w:sz w:val="24"/>
          <w:szCs w:val="24"/>
        </w:rPr>
      </w:pPr>
      <w:r>
        <w:rPr>
          <w:b/>
          <w:sz w:val="24"/>
          <w:szCs w:val="24"/>
        </w:rPr>
        <w:t>Instructor:</w:t>
      </w:r>
      <w:r>
        <w:rPr>
          <w:sz w:val="24"/>
          <w:szCs w:val="24"/>
        </w:rPr>
        <w:t xml:space="preserve"> Venkat Venkateswaran, Clinical Associate Professor, Business Administration  </w:t>
      </w:r>
    </w:p>
    <w:p w:rsidR="00D6179C" w:rsidRDefault="00D6179C" w:rsidP="00D6179C">
      <w:pPr>
        <w:spacing w:before="174" w:line="340" w:lineRule="auto"/>
        <w:ind w:left="90" w:hanging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Office Location: </w:t>
      </w:r>
      <w:r>
        <w:rPr>
          <w:sz w:val="24"/>
          <w:szCs w:val="24"/>
        </w:rPr>
        <w:t>Online</w:t>
      </w:r>
    </w:p>
    <w:p w:rsidR="00D6179C" w:rsidRDefault="00D6179C" w:rsidP="00D6179C">
      <w:pPr>
        <w:pStyle w:val="BodyText"/>
        <w:tabs>
          <w:tab w:val="left" w:pos="2204"/>
        </w:tabs>
        <w:ind w:left="7" w:hanging="9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Hyperlink"/>
            <w:sz w:val="24"/>
            <w:szCs w:val="24"/>
          </w:rPr>
          <w:t>vv11@illinois.edu</w:t>
        </w:r>
      </w:hyperlink>
    </w:p>
    <w:p w:rsidR="00D6179C" w:rsidRDefault="00D6179C" w:rsidP="00D6179C">
      <w:pPr>
        <w:pStyle w:val="BodyText"/>
        <w:spacing w:before="80" w:line="312" w:lineRule="auto"/>
        <w:ind w:right="33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Office Hours: </w:t>
      </w:r>
      <w:r>
        <w:rPr>
          <w:b/>
          <w:sz w:val="24"/>
          <w:szCs w:val="24"/>
        </w:rPr>
        <w:t xml:space="preserve"> </w:t>
      </w:r>
      <w:r w:rsidRPr="00D6179C">
        <w:rPr>
          <w:sz w:val="24"/>
          <w:szCs w:val="24"/>
        </w:rPr>
        <w:t>TBA,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Zoom login details on course website on Compass</w:t>
      </w:r>
    </w:p>
    <w:p w:rsidR="00D6179C" w:rsidRDefault="00D6179C" w:rsidP="00D6179C">
      <w:pPr>
        <w:pStyle w:val="BodyText"/>
        <w:spacing w:before="80" w:line="312" w:lineRule="auto"/>
        <w:ind w:right="338"/>
        <w:rPr>
          <w:sz w:val="24"/>
          <w:szCs w:val="24"/>
        </w:rPr>
      </w:pPr>
      <w:r>
        <w:rPr>
          <w:b/>
          <w:sz w:val="24"/>
          <w:szCs w:val="24"/>
        </w:rPr>
        <w:t xml:space="preserve">Class Details: </w:t>
      </w:r>
      <w:r>
        <w:rPr>
          <w:sz w:val="24"/>
          <w:szCs w:val="24"/>
        </w:rPr>
        <w:t>TBA</w:t>
      </w:r>
      <w:r>
        <w:rPr>
          <w:sz w:val="24"/>
          <w:szCs w:val="24"/>
        </w:rPr>
        <w:t>.</w:t>
      </w:r>
    </w:p>
    <w:p w:rsidR="00D6179C" w:rsidRDefault="00D6179C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6"/>
          <w:szCs w:val="26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231F20"/>
          <w:sz w:val="26"/>
          <w:szCs w:val="26"/>
        </w:rPr>
        <w:t>Introduction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The tertiary sector or the “services sector” contributes about 70% of the gross domestic product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of the US economy. This sector also provides employment to 80% of the working population.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This course</w:t>
      </w:r>
      <w:r w:rsidR="004F2BE1">
        <w:rPr>
          <w:rFonts w:ascii="TimesNewRomanPSMT" w:hAnsi="TimesNewRomanPSMT" w:cs="TimesNewRomanPSMT"/>
          <w:color w:val="231F20"/>
          <w:sz w:val="23"/>
          <w:szCs w:val="23"/>
        </w:rPr>
        <w:t xml:space="preserve">, </w:t>
      </w:r>
      <w:r>
        <w:rPr>
          <w:rFonts w:ascii="TimesNewRomanPSMT" w:hAnsi="TimesNewRomanPSMT" w:cs="TimesNewRomanPSMT"/>
          <w:color w:val="231F20"/>
          <w:sz w:val="23"/>
          <w:szCs w:val="23"/>
        </w:rPr>
        <w:t>Service Operations Management</w:t>
      </w:r>
      <w:r w:rsidR="004F2BE1">
        <w:rPr>
          <w:rFonts w:ascii="TimesNewRomanPSMT" w:hAnsi="TimesNewRomanPSMT" w:cs="TimesNewRomanPSMT"/>
          <w:color w:val="231F20"/>
          <w:sz w:val="23"/>
          <w:szCs w:val="23"/>
        </w:rPr>
        <w:t>,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examines the firms in the services sector.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 </w:t>
      </w:r>
      <w:r>
        <w:rPr>
          <w:rFonts w:ascii="TimesNewRomanPSMT" w:hAnsi="TimesNewRomanPSMT" w:cs="TimesNewRomanPSMT"/>
          <w:color w:val="231F20"/>
          <w:sz w:val="23"/>
          <w:szCs w:val="23"/>
        </w:rPr>
        <w:t>Differentiating a service from a product on dimensions, such as, intangibility, perishability,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involvement and participation of the customer in the production or delivery of service, this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course focuses on the structural and infrastructural aspects of managing service operations.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Specifically, we will consider service delivery, service encounter, service quality and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management of capacity and demand. Using a blend of cases, selected book chapters and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articles from </w:t>
      </w:r>
      <w:r w:rsidR="004F2BE1">
        <w:rPr>
          <w:rFonts w:ascii="TimesNewRomanPSMT" w:hAnsi="TimesNewRomanPSMT" w:cs="TimesNewRomanPSMT"/>
          <w:color w:val="231F20"/>
          <w:sz w:val="23"/>
          <w:szCs w:val="23"/>
        </w:rPr>
        <w:t xml:space="preserve">the </w:t>
      </w:r>
      <w:r>
        <w:rPr>
          <w:rFonts w:ascii="TimesNewRomanPSMT" w:hAnsi="TimesNewRomanPSMT" w:cs="TimesNewRomanPSMT"/>
          <w:color w:val="231F20"/>
          <w:sz w:val="23"/>
          <w:szCs w:val="23"/>
        </w:rPr>
        <w:t>business press and academic research, this course will explore these aspects in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diverse service industries such as financial services, hospitality, retail and healthcare.</w:t>
      </w:r>
    </w:p>
    <w:p w:rsidR="00BA28E7" w:rsidRDefault="00BA28E7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COURSE OBJECTIVES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1. To study "breakthrough" services in order to understand the operations of successful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service firms that can be benchmarks for future management practice.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2. To develop an understanding of the "state of the art" of service management thinking.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3. To develop an awareness of the opportunities that information technology can have for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enhancing competitiveness of service firms.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4. To appreciate the organizational significance of managing the service encounter to achieve</w:t>
      </w:r>
      <w:r w:rsidR="00BA28E7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internal and external customer satisfaction.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5. To understand the dimensions of service growth and expansion both domestically and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internationally.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6. To gain an appreciation of the complexities associated with implementing change.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7. To appreciate the entrepreneurial opportunities in services.</w:t>
      </w:r>
    </w:p>
    <w:p w:rsidR="00297478" w:rsidRDefault="00297478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COURSE MATERIALS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Course Pack available from the Harvard website which includes all cases used in this</w:t>
      </w:r>
    </w:p>
    <w:p w:rsidR="005C0A05" w:rsidRDefault="00352ED2" w:rsidP="002974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course:  </w:t>
      </w:r>
      <w:r w:rsidRPr="00352ED2">
        <w:rPr>
          <w:rFonts w:ascii="TimesNewRomanPSMT" w:hAnsi="TimesNewRomanPSMT" w:cs="TimesNewRomanPSMT"/>
          <w:color w:val="231F20"/>
          <w:sz w:val="23"/>
          <w:szCs w:val="23"/>
        </w:rPr>
        <w:t>http://cb.hbsp.harvard.edu/</w:t>
      </w:r>
      <w:r w:rsidR="004633D3">
        <w:rPr>
          <w:rFonts w:ascii="TimesNewRomanPSMT" w:hAnsi="TimesNewRomanPSMT" w:cs="TimesNewRomanPSMT"/>
          <w:color w:val="231F20"/>
          <w:sz w:val="23"/>
          <w:szCs w:val="23"/>
        </w:rPr>
        <w:t>XXXXXX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CASE METHOD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The case method is used throughout the course. Study questions on each assigned case </w:t>
      </w:r>
      <w:r w:rsidR="00FF2EFD">
        <w:rPr>
          <w:rFonts w:ascii="TimesNewRomanPSMT" w:hAnsi="TimesNewRomanPSMT" w:cs="TimesNewRomanPSMT"/>
          <w:color w:val="231F20"/>
          <w:sz w:val="23"/>
          <w:szCs w:val="23"/>
        </w:rPr>
        <w:t>are provided below</w:t>
      </w:r>
      <w:r>
        <w:rPr>
          <w:rFonts w:ascii="TimesNewRomanPSMT" w:hAnsi="TimesNewRomanPSMT" w:cs="TimesNewRomanPSMT"/>
          <w:color w:val="231F20"/>
          <w:sz w:val="23"/>
          <w:szCs w:val="23"/>
        </w:rPr>
        <w:t>. These questions should serve as a starting point with additional</w:t>
      </w:r>
      <w:r w:rsidR="00297478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insights being welcomed. All </w:t>
      </w:r>
      <w:r>
        <w:rPr>
          <w:rFonts w:ascii="TimesNewRomanPSMT" w:hAnsi="TimesNewRomanPSMT" w:cs="TimesNewRomanPSMT"/>
          <w:color w:val="231F20"/>
          <w:sz w:val="23"/>
          <w:szCs w:val="23"/>
        </w:rPr>
        <w:lastRenderedPageBreak/>
        <w:t>class members are expected to have read the case and reflected</w:t>
      </w:r>
      <w:r w:rsidR="00584E5C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upon the assigned questions. Furthermore, class members </w:t>
      </w:r>
      <w:r w:rsidR="00584E5C">
        <w:rPr>
          <w:rFonts w:ascii="TimesNewRomanPSMT" w:hAnsi="TimesNewRomanPSMT" w:cs="TimesNewRomanPSMT"/>
          <w:color w:val="231F20"/>
          <w:sz w:val="23"/>
          <w:szCs w:val="23"/>
        </w:rPr>
        <w:t xml:space="preserve">should attempt to apply </w:t>
      </w:r>
      <w:r>
        <w:rPr>
          <w:rFonts w:ascii="TimesNewRomanPSMT" w:hAnsi="TimesNewRomanPSMT" w:cs="TimesNewRomanPSMT"/>
          <w:color w:val="231F20"/>
          <w:sz w:val="23"/>
          <w:szCs w:val="23"/>
        </w:rPr>
        <w:t>concepts</w:t>
      </w:r>
      <w:r w:rsidR="00584E5C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from the </w:t>
      </w:r>
      <w:r w:rsidR="004F2BE1">
        <w:rPr>
          <w:rFonts w:ascii="TimesNewRomanPSMT" w:hAnsi="TimesNewRomanPSMT" w:cs="TimesNewRomanPSMT"/>
          <w:color w:val="231F20"/>
          <w:sz w:val="23"/>
          <w:szCs w:val="23"/>
        </w:rPr>
        <w:t xml:space="preserve">lectures and </w:t>
      </w:r>
      <w:r>
        <w:rPr>
          <w:rFonts w:ascii="TimesNewRomanPSMT" w:hAnsi="TimesNewRomanPSMT" w:cs="TimesNewRomanPSMT"/>
          <w:color w:val="231F20"/>
          <w:sz w:val="23"/>
          <w:szCs w:val="23"/>
        </w:rPr>
        <w:t>assigned readings to their analysis of the case</w:t>
      </w:r>
      <w:r w:rsidR="004F2BE1">
        <w:rPr>
          <w:rFonts w:ascii="TimesNewRomanPSMT" w:hAnsi="TimesNewRomanPSMT" w:cs="TimesNewRomanPSMT"/>
          <w:color w:val="231F20"/>
          <w:sz w:val="23"/>
          <w:szCs w:val="23"/>
        </w:rPr>
        <w:t>s</w:t>
      </w:r>
      <w:r>
        <w:rPr>
          <w:rFonts w:ascii="TimesNewRomanPSMT" w:hAnsi="TimesNewRomanPSMT" w:cs="TimesNewRomanPSMT"/>
          <w:color w:val="231F20"/>
          <w:sz w:val="23"/>
          <w:szCs w:val="23"/>
        </w:rPr>
        <w:t>.</w:t>
      </w:r>
    </w:p>
    <w:p w:rsidR="00584E5C" w:rsidRDefault="00584E5C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GRADING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Your course grade will be based on the following team and individual activities and weights:</w:t>
      </w:r>
    </w:p>
    <w:p w:rsidR="005C0A05" w:rsidRPr="004633D3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231F20"/>
          <w:sz w:val="23"/>
          <w:szCs w:val="23"/>
        </w:rPr>
      </w:pP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Class Participation and Quiz </w:t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20.00% 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(</w:t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Individual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)</w:t>
      </w:r>
    </w:p>
    <w:p w:rsidR="005C0A05" w:rsidRPr="004633D3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231F20"/>
          <w:sz w:val="23"/>
          <w:szCs w:val="23"/>
        </w:rPr>
      </w:pP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2 Case Briefs </w:t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30.00% 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(</w:t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Individual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)</w:t>
      </w:r>
    </w:p>
    <w:p w:rsidR="005C0A05" w:rsidRPr="004633D3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231F20"/>
          <w:sz w:val="23"/>
          <w:szCs w:val="23"/>
        </w:rPr>
      </w:pP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Group Project 1: Case Analyses </w:t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20.00% 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(</w:t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Group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)</w:t>
      </w:r>
    </w:p>
    <w:p w:rsidR="005C0A05" w:rsidRPr="004633D3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231F20"/>
          <w:sz w:val="23"/>
          <w:szCs w:val="23"/>
        </w:rPr>
      </w:pP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Group Project 2: Walk-through Audit </w:t>
      </w:r>
      <w:r w:rsidR="00584E5C"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ab/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 xml:space="preserve">30.00% 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(</w:t>
      </w:r>
      <w:r w:rsidRP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Group</w:t>
      </w:r>
      <w:r w:rsidR="004633D3">
        <w:rPr>
          <w:rFonts w:ascii="TimesNewRomanPS-BoldMT" w:hAnsi="TimesNewRomanPS-BoldMT" w:cs="TimesNewRomanPS-BoldMT"/>
          <w:bCs/>
          <w:color w:val="231F20"/>
          <w:sz w:val="23"/>
          <w:szCs w:val="23"/>
        </w:rPr>
        <w:t>)</w:t>
      </w:r>
    </w:p>
    <w:p w:rsidR="00584E5C" w:rsidRPr="004633D3" w:rsidRDefault="00584E5C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CLASS PARTICIPATION</w:t>
      </w:r>
      <w:r w:rsidR="00D6179C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 and </w:t>
      </w:r>
      <w:proofErr w:type="spellStart"/>
      <w:r w:rsidR="00D6179C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Quizes</w:t>
      </w:r>
      <w:proofErr w:type="spellEnd"/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 – 20%</w:t>
      </w:r>
    </w:p>
    <w:p w:rsidR="005C0A05" w:rsidRDefault="005C0A05" w:rsidP="004633D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This course itself is an example of service operations where co-production is required among</w:t>
      </w:r>
      <w:r w:rsidR="00A16D55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the students and the instructor for a high quality service delivery. Therefore, to stimulate a rich</w:t>
      </w:r>
      <w:r w:rsidR="00A16D55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class</w:t>
      </w:r>
      <w:r w:rsidR="00A16D55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environment</w:t>
      </w:r>
      <w:r w:rsidR="00D6179C">
        <w:rPr>
          <w:rFonts w:ascii="TimesNewRomanPSMT" w:hAnsi="TimesNewRomanPSMT" w:cs="TimesNewRomanPSMT"/>
          <w:color w:val="231F20"/>
          <w:sz w:val="23"/>
          <w:szCs w:val="23"/>
        </w:rPr>
        <w:t xml:space="preserve"> over Zoom</w:t>
      </w:r>
      <w:r>
        <w:rPr>
          <w:rFonts w:ascii="TimesNewRomanPSMT" w:hAnsi="TimesNewRomanPSMT" w:cs="TimesNewRomanPSMT"/>
          <w:color w:val="231F20"/>
          <w:sz w:val="23"/>
          <w:szCs w:val="23"/>
        </w:rPr>
        <w:t>, it is important to come prepared for the class. Active participation is</w:t>
      </w:r>
      <w:r w:rsidR="00A16D55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expected throughout the entire class with thoughtful contributions to advance the quality of the</w:t>
      </w:r>
      <w:r w:rsidR="00A16D55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discussion. </w:t>
      </w:r>
    </w:p>
    <w:p w:rsidR="006B2210" w:rsidRDefault="006B2210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2 CASE BRIEFS – 30%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Each of you is expected to turn in two individual case briefs for specifically identified case</w:t>
      </w:r>
      <w:r w:rsidR="00604E55">
        <w:rPr>
          <w:rFonts w:ascii="TimesNewRomanPSMT" w:hAnsi="TimesNewRomanPSMT" w:cs="TimesNewRomanPSMT"/>
          <w:color w:val="231F20"/>
          <w:sz w:val="23"/>
          <w:szCs w:val="23"/>
        </w:rPr>
        <w:t>s – (a) Orthopedic Clinic and (b) a case that I will distribute in class as wrap-up work</w:t>
      </w:r>
      <w:r>
        <w:rPr>
          <w:rFonts w:ascii="TimesNewRomanPSMT" w:hAnsi="TimesNewRomanPSMT" w:cs="TimesNewRomanPSMT"/>
          <w:color w:val="231F20"/>
          <w:sz w:val="23"/>
          <w:szCs w:val="23"/>
        </w:rPr>
        <w:t>.</w:t>
      </w:r>
    </w:p>
    <w:p w:rsidR="00CC75C4" w:rsidRDefault="00604E5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These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 xml:space="preserve"> should be limited to two single-spaced pages of text (no less than 10-point type, one</w:t>
      </w:r>
      <w:r w:rsidR="00CC75C4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>inch margins), plus where necessary up to three additional pages of calculations, charts,</w:t>
      </w:r>
      <w:r w:rsidR="00CC75C4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>diagrams, or graphs. Please note that all calculations and figures must be clearly labeled and</w:t>
      </w:r>
      <w:r w:rsidR="00CC75C4">
        <w:rPr>
          <w:rFonts w:ascii="TimesNewRomanPSMT" w:hAnsi="TimesNewRomanPSMT" w:cs="TimesNewRomanPSMT"/>
          <w:color w:val="231F20"/>
          <w:sz w:val="23"/>
          <w:szCs w:val="23"/>
        </w:rPr>
        <w:t xml:space="preserve"> referenced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 xml:space="preserve"> in the body of the case brief. You can summarize key points with bullets, however</w:t>
      </w:r>
      <w:r w:rsidR="00CC75C4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 xml:space="preserve">the substance of your logic and analysis must be </w:t>
      </w:r>
      <w:r w:rsidR="00CC75C4">
        <w:rPr>
          <w:rFonts w:ascii="TimesNewRomanPSMT" w:hAnsi="TimesNewRomanPSMT" w:cs="TimesNewRomanPSMT"/>
          <w:color w:val="231F20"/>
          <w:sz w:val="23"/>
          <w:szCs w:val="23"/>
        </w:rPr>
        <w:t>clearly spelled out</w:t>
      </w:r>
      <w:r w:rsidR="005C0A05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. Please </w:t>
      </w:r>
      <w:r w:rsidR="00DA1DF2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name the file after yourself and also list your name </w:t>
      </w:r>
      <w:r w:rsidR="005C0A05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in the header</w:t>
      </w:r>
      <w:r w:rsidR="00DA1DF2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 within the file itself</w:t>
      </w:r>
      <w:r w:rsidR="005C0A05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. </w:t>
      </w:r>
    </w:p>
    <w:p w:rsidR="00CC75C4" w:rsidRDefault="00CC75C4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A suggested format for case brief is as follows: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Arial" w:eastAsia="Arial" w:hAnsi="Arial" w:cs="Arial" w:hint="eastAsia"/>
          <w:color w:val="231F20"/>
          <w:sz w:val="23"/>
          <w:szCs w:val="23"/>
        </w:rPr>
        <w:t>􀁸</w:t>
      </w:r>
      <w:r>
        <w:rPr>
          <w:rFonts w:ascii="SymbolMT" w:hAnsi="SymbolMT" w:cs="SymbolMT"/>
          <w:color w:val="231F20"/>
          <w:sz w:val="23"/>
          <w:szCs w:val="23"/>
        </w:rPr>
        <w:t xml:space="preserve"> </w:t>
      </w:r>
      <w:proofErr w:type="gramStart"/>
      <w:r w:rsidR="00BE67EB">
        <w:rPr>
          <w:rFonts w:ascii="TimesNewRomanPSMT" w:hAnsi="TimesNewRomanPSMT" w:cs="TimesNewRomanPSMT"/>
          <w:color w:val="231F20"/>
          <w:sz w:val="23"/>
          <w:szCs w:val="23"/>
        </w:rPr>
        <w:t>An</w:t>
      </w:r>
      <w:proofErr w:type="gramEnd"/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overview of the major issues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Arial" w:eastAsia="Arial" w:hAnsi="Arial" w:cs="Arial" w:hint="eastAsia"/>
          <w:color w:val="231F20"/>
          <w:sz w:val="23"/>
          <w:szCs w:val="23"/>
        </w:rPr>
        <w:t>􀁸</w:t>
      </w:r>
      <w:r>
        <w:rPr>
          <w:rFonts w:ascii="SymbolMT" w:hAnsi="SymbolMT" w:cs="Symbol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A brief description of the service concept and offering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Arial" w:eastAsia="Arial" w:hAnsi="Arial" w:cs="Arial" w:hint="eastAsia"/>
          <w:color w:val="231F20"/>
          <w:sz w:val="23"/>
          <w:szCs w:val="23"/>
        </w:rPr>
        <w:t>􀁸</w:t>
      </w:r>
      <w:r>
        <w:rPr>
          <w:rFonts w:ascii="SymbolMT" w:hAnsi="SymbolMT" w:cs="Symbol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Assumptions (</w:t>
      </w:r>
      <w:r w:rsidR="00CC75C4">
        <w:rPr>
          <w:rFonts w:ascii="TimesNewRomanPSMT" w:hAnsi="TimesNewRomanPSMT" w:cs="TimesNewRomanPSMT"/>
          <w:color w:val="231F20"/>
          <w:sz w:val="23"/>
          <w:szCs w:val="23"/>
        </w:rPr>
        <w:t>as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needed) to the analysis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Arial" w:eastAsia="Arial" w:hAnsi="Arial" w:cs="Arial" w:hint="eastAsia"/>
          <w:color w:val="231F20"/>
          <w:sz w:val="23"/>
          <w:szCs w:val="23"/>
        </w:rPr>
        <w:t>􀁸</w:t>
      </w:r>
      <w:r>
        <w:rPr>
          <w:rFonts w:ascii="SymbolMT" w:hAnsi="SymbolMT" w:cs="Symbol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Analysis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Arial" w:eastAsia="Arial" w:hAnsi="Arial" w:cs="Arial" w:hint="eastAsia"/>
          <w:color w:val="231F20"/>
          <w:sz w:val="23"/>
          <w:szCs w:val="23"/>
        </w:rPr>
        <w:t>􀁸</w:t>
      </w:r>
      <w:r>
        <w:rPr>
          <w:rFonts w:ascii="SymbolMT" w:hAnsi="SymbolMT" w:cs="Symbol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Recommended action plan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Arial" w:eastAsia="Arial" w:hAnsi="Arial" w:cs="Arial" w:hint="eastAsia"/>
          <w:color w:val="231F20"/>
          <w:sz w:val="23"/>
          <w:szCs w:val="23"/>
        </w:rPr>
        <w:t>􀁸</w:t>
      </w:r>
      <w:r>
        <w:rPr>
          <w:rFonts w:ascii="SymbolMT" w:hAnsi="SymbolMT" w:cs="Symbol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Appendices (</w:t>
      </w:r>
      <w:r w:rsidR="00CC75C4">
        <w:rPr>
          <w:rFonts w:ascii="TimesNewRomanPSMT" w:hAnsi="TimesNewRomanPSMT" w:cs="TimesNewRomanPSMT"/>
          <w:color w:val="231F20"/>
          <w:sz w:val="23"/>
          <w:szCs w:val="23"/>
        </w:rPr>
        <w:t>as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needed)</w:t>
      </w:r>
    </w:p>
    <w:p w:rsidR="00CC75C4" w:rsidRDefault="00CC75C4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</w:p>
    <w:p w:rsidR="00CC75C4" w:rsidRDefault="00CC75C4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GROUP PROJECT 1: Case Analyses – 20%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An important element of this class is teamwork. You are to form your own team of no more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than 4 students. Each team will be responsible for preparing a case analysis that includes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leading the case discussion </w:t>
      </w:r>
      <w:r w:rsidR="00E044CB">
        <w:rPr>
          <w:rFonts w:ascii="TimesNewRomanPSMT" w:hAnsi="TimesNewRomanPSMT" w:cs="TimesNewRomanPSMT"/>
          <w:color w:val="231F20"/>
          <w:sz w:val="23"/>
          <w:szCs w:val="23"/>
        </w:rPr>
        <w:t xml:space="preserve">and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handing in the written </w:t>
      </w:r>
      <w:r w:rsidR="00291163">
        <w:rPr>
          <w:rFonts w:ascii="TimesNewRomanPSMT" w:hAnsi="TimesNewRomanPSMT" w:cs="TimesNewRomanPSMT"/>
          <w:color w:val="231F20"/>
          <w:sz w:val="23"/>
          <w:szCs w:val="23"/>
        </w:rPr>
        <w:t>analysis of the case</w:t>
      </w:r>
      <w:r>
        <w:rPr>
          <w:rFonts w:ascii="TimesNewRomanPSMT" w:hAnsi="TimesNewRomanPSMT" w:cs="TimesNewRomanPSMT"/>
          <w:color w:val="231F20"/>
          <w:sz w:val="23"/>
          <w:szCs w:val="23"/>
        </w:rPr>
        <w:t>.</w:t>
      </w:r>
    </w:p>
    <w:p w:rsidR="00E044CB" w:rsidRDefault="00E044CB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FACILITATING CASE DISCUSSION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By the end of the second day, your team will need to select one case for your team to lead the</w:t>
      </w:r>
      <w:r w:rsidR="00E044CB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class in its analysis. Facilitating a case discussion is not presenting a complete analysis of the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case but rather leading the class in the case analysis. This requires the team to stimulate interest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and draw out insights and ideas from the class</w:t>
      </w:r>
      <w:r w:rsidR="00291163">
        <w:rPr>
          <w:rFonts w:ascii="TimesNewRomanPSMT" w:hAnsi="TimesNewRomanPSMT" w:cs="TimesNewRomanPSMT"/>
          <w:color w:val="231F20"/>
          <w:sz w:val="23"/>
          <w:szCs w:val="23"/>
        </w:rPr>
        <w:t>,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creating active participation of class members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who are expected to have read the case and thought about the assigned questions. Often the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case discussion begins with a </w:t>
      </w:r>
      <w:r>
        <w:rPr>
          <w:rFonts w:ascii="TimesNewRomanPSMT" w:hAnsi="TimesNewRomanPSMT" w:cs="TimesNewRomanPSMT"/>
          <w:color w:val="231F20"/>
          <w:sz w:val="23"/>
          <w:szCs w:val="23"/>
        </w:rPr>
        <w:lastRenderedPageBreak/>
        <w:t>brief overview of the firm. Discussions of the assigned questions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are facilitated using an outline or bullet form with inputs provided by the students. As a group,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we will try to build a complete analysis of the situation and address the problems arising in the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case applying the framework presented in the readings for the session. At the conclusion of the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case discussion, the instructor will summarize the takeaways. Please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 w:rsidR="00EC4B7B">
        <w:rPr>
          <w:rFonts w:ascii="TimesNewRomanPSMT" w:hAnsi="TimesNewRomanPSMT" w:cs="TimesNewRomanPSMT"/>
          <w:color w:val="231F20"/>
          <w:sz w:val="23"/>
          <w:szCs w:val="23"/>
        </w:rPr>
        <w:t>plan for a presentation taking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40-45 minutes.</w:t>
      </w:r>
      <w:r w:rsidR="006A7602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</w:p>
    <w:p w:rsidR="006A7602" w:rsidRDefault="006A7602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WRITTEN ANALYSIS OF CASES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The written analysis </w:t>
      </w:r>
      <w:r w:rsidR="00EC4B7B">
        <w:rPr>
          <w:rFonts w:ascii="TimesNewRomanPSMT" w:hAnsi="TimesNewRomanPSMT" w:cs="TimesNewRomanPSMT"/>
          <w:color w:val="231F20"/>
          <w:sz w:val="23"/>
          <w:szCs w:val="23"/>
        </w:rPr>
        <w:t>will address the case questions.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I will be evaluating your papers using the attached “grading”</w:t>
      </w:r>
      <w:r w:rsidR="00EC4B7B">
        <w:rPr>
          <w:rFonts w:ascii="TimesNewRomanPSMT" w:hAnsi="TimesNewRomanPSMT" w:cs="TimesNewRomanPSMT"/>
          <w:color w:val="231F20"/>
          <w:sz w:val="23"/>
          <w:szCs w:val="23"/>
        </w:rPr>
        <w:t xml:space="preserve"> template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with particular attention paid to your application of course reading material and</w:t>
      </w:r>
      <w:r w:rsidR="00EC4B7B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concepts to the case. The assigned questions for a case are shown </w:t>
      </w:r>
      <w:r w:rsidR="00EC4B7B">
        <w:rPr>
          <w:rFonts w:ascii="TimesNewRomanPSMT" w:hAnsi="TimesNewRomanPSMT" w:cs="TimesNewRomanPSMT"/>
          <w:color w:val="231F20"/>
          <w:sz w:val="23"/>
          <w:szCs w:val="23"/>
        </w:rPr>
        <w:t>below</w:t>
      </w:r>
      <w:r>
        <w:rPr>
          <w:rFonts w:ascii="TimesNewRomanPSMT" w:hAnsi="TimesNewRomanPSMT" w:cs="TimesNewRomanPSMT"/>
          <w:color w:val="231F20"/>
          <w:sz w:val="23"/>
          <w:szCs w:val="23"/>
        </w:rPr>
        <w:t>. At a minimum these questions must be addressed</w:t>
      </w:r>
      <w:r w:rsidR="00BE67EB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in the written analysis</w:t>
      </w:r>
      <w:r w:rsidR="00BE67EB">
        <w:rPr>
          <w:rFonts w:ascii="TimesNewRomanPSMT" w:hAnsi="TimesNewRomanPSMT" w:cs="TimesNewRomanPSMT"/>
          <w:color w:val="231F20"/>
          <w:sz w:val="23"/>
          <w:szCs w:val="23"/>
        </w:rPr>
        <w:t>.  C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reative thinking </w:t>
      </w:r>
      <w:r w:rsidR="00BE67EB">
        <w:rPr>
          <w:rFonts w:ascii="TimesNewRomanPSMT" w:hAnsi="TimesNewRomanPSMT" w:cs="TimesNewRomanPSMT"/>
          <w:color w:val="231F20"/>
          <w:sz w:val="23"/>
          <w:szCs w:val="23"/>
        </w:rPr>
        <w:t xml:space="preserve">that goes beyond will be </w:t>
      </w:r>
      <w:r>
        <w:rPr>
          <w:rFonts w:ascii="TimesNewRomanPSMT" w:hAnsi="TimesNewRomanPSMT" w:cs="TimesNewRomanPSMT"/>
          <w:color w:val="231F20"/>
          <w:sz w:val="23"/>
          <w:szCs w:val="23"/>
        </w:rPr>
        <w:t>rewarded.</w:t>
      </w:r>
    </w:p>
    <w:p w:rsidR="00BE67EB" w:rsidRDefault="00BE67EB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Additional notes: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1. Papers should be printed, double-spaced, with normal margins. The name of the case should</w:t>
      </w:r>
      <w:r w:rsidR="00BE67EB">
        <w:rPr>
          <w:rFonts w:ascii="TimesNewRomanPSMT" w:hAnsi="TimesNewRomanPSMT" w:cs="TimesNewRomanPSMT"/>
          <w:color w:val="231F20"/>
          <w:sz w:val="23"/>
          <w:szCs w:val="23"/>
        </w:rPr>
        <w:t xml:space="preserve"> appear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on the first page of the text with your names, date, and course number. A summary is not required nor expected.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2. The page limit for each paper is five pages of text, plus exhibits. Papers should be concise and coherent.</w:t>
      </w:r>
    </w:p>
    <w:p w:rsidR="005C0A05" w:rsidRPr="00BE67EB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3. Exhibits should contain </w:t>
      </w:r>
      <w:r w:rsidR="00EC4B7B">
        <w:rPr>
          <w:rFonts w:ascii="TimesNewRomanPSMT" w:hAnsi="TimesNewRomanPSMT" w:cs="TimesNewRomanPSMT"/>
          <w:color w:val="231F20"/>
          <w:sz w:val="23"/>
          <w:szCs w:val="23"/>
        </w:rPr>
        <w:t>supporting analysis and information that may be too detailed for inclusion in the main body of the report.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4. Please proofread/spell check your paper before turning it in. Papers for this course should</w:t>
      </w:r>
      <w:r w:rsidR="00BE67EB"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231F20"/>
          <w:sz w:val="23"/>
          <w:szCs w:val="23"/>
        </w:rPr>
        <w:t>be of the same quality that you would provide to the management of the business.</w:t>
      </w:r>
    </w:p>
    <w:p w:rsidR="00EC5D7D" w:rsidRDefault="00EC5D7D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5. Submit your paper by email to me.</w:t>
      </w:r>
    </w:p>
    <w:p w:rsidR="00BE67EB" w:rsidRDefault="00BE67EB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GROUP PROJECT 2: </w:t>
      </w:r>
      <w:r w:rsidR="00D6179C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>Blueprinting and Design Improvement</w:t>
      </w:r>
      <w:r w:rsidR="00794DCC">
        <w:rPr>
          <w:rFonts w:ascii="TimesNewRomanPS-BoldMT" w:hAnsi="TimesNewRomanPS-BoldMT" w:cs="TimesNewRomanPS-BoldMT"/>
          <w:b/>
          <w:bCs/>
          <w:color w:val="231F20"/>
          <w:sz w:val="23"/>
          <w:szCs w:val="23"/>
        </w:rPr>
        <w:t xml:space="preserve"> for Social Distancing</w:t>
      </w:r>
    </w:p>
    <w:p w:rsidR="00A943A3" w:rsidRDefault="00BE67EB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3"/>
          <w:szCs w:val="23"/>
        </w:rPr>
      </w:pPr>
      <w:r>
        <w:rPr>
          <w:rFonts w:ascii="TimesNewRomanPSMT" w:hAnsi="TimesNewRomanPSMT" w:cs="TimesNewRomanPSMT"/>
          <w:color w:val="231F20"/>
          <w:sz w:val="23"/>
          <w:szCs w:val="23"/>
        </w:rPr>
        <w:t>E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>ach group will conduct a service project</w:t>
      </w:r>
      <w:r>
        <w:rPr>
          <w:rFonts w:ascii="TimesNewRomanPSMT" w:hAnsi="TimesNewRomanPSMT" w:cs="TimesNewRomanPSMT"/>
          <w:color w:val="231F20"/>
          <w:sz w:val="23"/>
          <w:szCs w:val="23"/>
        </w:rPr>
        <w:t xml:space="preserve"> 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 xml:space="preserve">consisting of </w:t>
      </w:r>
      <w:r w:rsidR="00D6179C">
        <w:rPr>
          <w:rFonts w:ascii="TimesNewRomanPSMT" w:hAnsi="TimesNewRomanPSMT" w:cs="TimesNewRomanPSMT"/>
          <w:color w:val="231F20"/>
          <w:sz w:val="23"/>
          <w:szCs w:val="23"/>
        </w:rPr>
        <w:t>blueprinting a service and recommending design changes</w:t>
      </w:r>
      <w:r w:rsidR="00794DCC">
        <w:rPr>
          <w:rFonts w:ascii="TimesNewRomanPSMT" w:hAnsi="TimesNewRomanPSMT" w:cs="TimesNewRomanPSMT"/>
          <w:color w:val="231F20"/>
          <w:sz w:val="23"/>
          <w:szCs w:val="23"/>
        </w:rPr>
        <w:t xml:space="preserve"> toward social distancing</w:t>
      </w:r>
      <w:r w:rsidR="005C0A05">
        <w:rPr>
          <w:rFonts w:ascii="TimesNewRomanPSMT" w:hAnsi="TimesNewRomanPSMT" w:cs="TimesNewRomanPSMT"/>
          <w:color w:val="231F20"/>
          <w:sz w:val="23"/>
          <w:szCs w:val="23"/>
        </w:rPr>
        <w:t xml:space="preserve">. </w:t>
      </w:r>
      <w:r w:rsidR="00900716">
        <w:rPr>
          <w:rFonts w:ascii="TimesNewRomanPSMT" w:hAnsi="TimesNewRomanPSMT" w:cs="TimesNewRomanPSMT"/>
          <w:color w:val="231F20"/>
          <w:sz w:val="23"/>
          <w:szCs w:val="23"/>
        </w:rPr>
        <w:t>Th</w:t>
      </w:r>
      <w:r w:rsidR="00D6179C">
        <w:rPr>
          <w:rFonts w:ascii="TimesNewRomanPSMT" w:hAnsi="TimesNewRomanPSMT" w:cs="TimesNewRomanPSMT"/>
          <w:color w:val="231F20"/>
          <w:sz w:val="23"/>
          <w:szCs w:val="23"/>
        </w:rPr>
        <w:t xml:space="preserve">is will </w:t>
      </w:r>
      <w:r w:rsidR="00900716">
        <w:rPr>
          <w:rFonts w:ascii="TimesNewRomanPSMT" w:hAnsi="TimesNewRomanPSMT" w:cs="TimesNewRomanPSMT"/>
          <w:color w:val="231F20"/>
          <w:sz w:val="23"/>
          <w:szCs w:val="23"/>
        </w:rPr>
        <w:t xml:space="preserve">involve the selection of a service to </w:t>
      </w:r>
      <w:r w:rsidR="00D6179C">
        <w:rPr>
          <w:rFonts w:ascii="TimesNewRomanPSMT" w:hAnsi="TimesNewRomanPSMT" w:cs="TimesNewRomanPSMT"/>
          <w:color w:val="231F20"/>
          <w:sz w:val="23"/>
          <w:szCs w:val="23"/>
        </w:rPr>
        <w:t>examine</w:t>
      </w:r>
      <w:r w:rsidR="00900716">
        <w:rPr>
          <w:rFonts w:ascii="TimesNewRomanPSMT" w:hAnsi="TimesNewRomanPSMT" w:cs="TimesNewRomanPSMT"/>
          <w:color w:val="231F20"/>
          <w:sz w:val="23"/>
          <w:szCs w:val="23"/>
        </w:rPr>
        <w:t xml:space="preserve"> (e.g. a restaurant</w:t>
      </w:r>
      <w:r w:rsidR="007B6CC1">
        <w:rPr>
          <w:rFonts w:ascii="TimesNewRomanPSMT" w:hAnsi="TimesNewRomanPSMT" w:cs="TimesNewRomanPSMT"/>
          <w:color w:val="231F20"/>
          <w:sz w:val="23"/>
          <w:szCs w:val="23"/>
        </w:rPr>
        <w:t>,</w:t>
      </w:r>
      <w:r w:rsidR="00794DCC">
        <w:rPr>
          <w:rFonts w:ascii="TimesNewRomanPSMT" w:hAnsi="TimesNewRomanPSMT" w:cs="TimesNewRomanPSMT"/>
          <w:color w:val="231F20"/>
          <w:sz w:val="23"/>
          <w:szCs w:val="23"/>
        </w:rPr>
        <w:t xml:space="preserve"> grocery store</w:t>
      </w:r>
      <w:r w:rsidR="00900716">
        <w:rPr>
          <w:rFonts w:ascii="TimesNewRomanPSMT" w:hAnsi="TimesNewRomanPSMT" w:cs="TimesNewRomanPSMT"/>
          <w:color w:val="231F20"/>
          <w:sz w:val="23"/>
          <w:szCs w:val="23"/>
        </w:rPr>
        <w:t xml:space="preserve">).  </w:t>
      </w:r>
      <w:r w:rsidR="00D6179C">
        <w:rPr>
          <w:rFonts w:ascii="TimesNewRomanPSMT" w:hAnsi="TimesNewRomanPSMT" w:cs="TimesNewRomanPSMT"/>
          <w:color w:val="231F20"/>
          <w:sz w:val="23"/>
          <w:szCs w:val="23"/>
        </w:rPr>
        <w:t xml:space="preserve">The group will then prepare a service blueprint </w:t>
      </w:r>
      <w:r w:rsidR="00794DCC">
        <w:rPr>
          <w:rFonts w:ascii="TimesNewRomanPSMT" w:hAnsi="TimesNewRomanPSMT" w:cs="TimesNewRomanPSMT"/>
          <w:color w:val="231F20"/>
          <w:sz w:val="23"/>
          <w:szCs w:val="23"/>
        </w:rPr>
        <w:t xml:space="preserve">of the service based on </w:t>
      </w:r>
      <w:r w:rsidR="007B6CC1">
        <w:rPr>
          <w:rFonts w:ascii="TimesNewRomanPSMT" w:hAnsi="TimesNewRomanPSMT" w:cs="TimesNewRomanPSMT"/>
          <w:color w:val="231F20"/>
          <w:sz w:val="23"/>
          <w:szCs w:val="23"/>
        </w:rPr>
        <w:t xml:space="preserve">perhaps </w:t>
      </w:r>
      <w:r w:rsidR="00794DCC">
        <w:rPr>
          <w:rFonts w:ascii="TimesNewRomanPSMT" w:hAnsi="TimesNewRomanPSMT" w:cs="TimesNewRomanPSMT"/>
          <w:color w:val="231F20"/>
          <w:sz w:val="23"/>
          <w:szCs w:val="23"/>
        </w:rPr>
        <w:t xml:space="preserve">limited observations (where possible) and online research.  Then the group will propose design improvements keeping in mind service design principles and economics.  A </w:t>
      </w:r>
      <w:r w:rsidR="007B6CC1">
        <w:rPr>
          <w:rFonts w:ascii="TimesNewRomanPSMT" w:hAnsi="TimesNewRomanPSMT" w:cs="TimesNewRomanPSMT"/>
          <w:color w:val="231F20"/>
          <w:sz w:val="23"/>
          <w:szCs w:val="23"/>
        </w:rPr>
        <w:t xml:space="preserve">comprehensive </w:t>
      </w:r>
      <w:r w:rsidR="00794DCC">
        <w:rPr>
          <w:rFonts w:ascii="TimesNewRomanPSMT" w:hAnsi="TimesNewRomanPSMT" w:cs="TimesNewRomanPSMT"/>
          <w:color w:val="231F20"/>
          <w:sz w:val="23"/>
          <w:szCs w:val="23"/>
        </w:rPr>
        <w:t xml:space="preserve">critique of the proposed changes </w:t>
      </w:r>
      <w:r w:rsidR="007B6CC1">
        <w:rPr>
          <w:rFonts w:ascii="TimesNewRomanPSMT" w:hAnsi="TimesNewRomanPSMT" w:cs="TimesNewRomanPSMT"/>
          <w:color w:val="231F20"/>
          <w:sz w:val="23"/>
          <w:szCs w:val="23"/>
        </w:rPr>
        <w:t xml:space="preserve">is required, detailing weaknesses, potential problems, how they might be addressed, quality metrics and a pilot design for roll-out. 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Assigned Case Questions</w:t>
      </w:r>
    </w:p>
    <w:p w:rsidR="007E5B05" w:rsidRDefault="007E5B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1. Westin Hotels and Resorts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1. Linking the case to the HBR article by Pine and Gilmore on the experience economy, what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elements of the HBR article are in the Westin case?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2. How is the Westin Hotel and Resorts performing in the competitive landscape?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3. Why was Westin Hotel and Resorts constantly involved in the service culture “renewal”?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What are the opportunities and threats of such a service strategy?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4. How does Westin deliver experience in their properties around the world?</w:t>
      </w:r>
    </w:p>
    <w:p w:rsidR="007E5B05" w:rsidRDefault="007E5B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2. Innovation at Progressive (A): Pay-As-You-Go Insurance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1. How does Progressive's performance as an auto insurer compare to that of typical insurance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companies? How has its performance changed over time? What explains the difference in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performance?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2. Customers of auto insurers are very price sensitive. How problematic is it to Progressive that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customers almost always select the insurer that offers the best price?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3. Compare Progressive approach to other product development systems. What are the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lastRenderedPageBreak/>
        <w:t xml:space="preserve">differences? What are the similarities? Does it matter if it is a product or service that is </w:t>
      </w:r>
      <w:proofErr w:type="gramStart"/>
      <w:r>
        <w:rPr>
          <w:rFonts w:ascii="TimesNewRomanPSMT" w:hAnsi="TimesNewRomanPSMT" w:cs="TimesNewRomanPSMT"/>
          <w:color w:val="231F20"/>
          <w:sz w:val="21"/>
          <w:szCs w:val="21"/>
        </w:rPr>
        <w:t>being</w:t>
      </w:r>
      <w:proofErr w:type="gramEnd"/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developed?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4. Assess the viability of the Autograph system. What level of consumer acceptance will it take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to make Autograph successful? What are the barriers to consumer acceptance? Should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Autograph be expanded nationwide?</w:t>
      </w:r>
    </w:p>
    <w:p w:rsidR="007E5B05" w:rsidRDefault="007E5B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3. Ritz-Carlton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1. “Service” can be an elusive concept. What is the essence of The Ritz-Carlton experience?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What is The Ritz-Carlton selling?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2. How does The Ritz-Carlton create “Ladies and Gentlemen” in only7 days? What systems and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processes produce (or contribute to) a successful service operating system in just seven days?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3. In what may be a first for the hospitality industry, Brian Collins, hotel owner, has asked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James McBride, Ritz-Carlton manager, to lengthen the amount of time spent training hotel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employees before hotel opening. Should McBride lengthen the 7 Day Countdown? Why or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why not? Or, what are the benefits and costs of extending the countdown?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4. Or, is this the time that McBride should consider a total overhaul of the hotel opening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process? If yes, what should he change, and how should he go about doing it? What’s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different about experimenting in a service business?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 xml:space="preserve">5. Assume Collins </w:t>
      </w:r>
      <w:r w:rsidR="00D86778">
        <w:rPr>
          <w:rFonts w:ascii="TimesNewRomanPSMT" w:hAnsi="TimesNewRomanPSMT" w:cs="TimesNewRomanPSMT"/>
          <w:color w:val="231F20"/>
          <w:sz w:val="21"/>
          <w:szCs w:val="21"/>
        </w:rPr>
        <w:t>prevails;</w:t>
      </w:r>
      <w:r>
        <w:rPr>
          <w:rFonts w:ascii="TimesNewRomanPSMT" w:hAnsi="TimesNewRomanPSMT" w:cs="TimesNewRomanPSMT"/>
          <w:color w:val="231F20"/>
          <w:sz w:val="21"/>
          <w:szCs w:val="21"/>
        </w:rPr>
        <w:t xml:space="preserve"> how do you extend training or what changes might be made to</w:t>
      </w:r>
    </w:p>
    <w:p w:rsidR="007E5B05" w:rsidRDefault="005C0A05" w:rsidP="000B0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accommodate a much faster ramp-up to the 80% occupancy level?</w:t>
      </w:r>
    </w:p>
    <w:p w:rsidR="007E5B05" w:rsidRDefault="007E5B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p w:rsidR="005C0A05" w:rsidRDefault="000B08A9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4</w:t>
      </w:r>
      <w:r w:rsidR="005C0A05"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. DAV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1. If you had 5 minutes to explain the concept of a p-chart to a group of bank tellers without a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background in SPC, how would you do it?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2. Why is DAV using SPC? What are the primary challenges in applying Statistical Process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Control to a service industry compared with manufacturing?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3. Why is DAV implementing SPC at this point in time?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4. The first 12 weeks of data in Exhibit 4 represent the diagnostic period for the Policy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Extension Group. What are the 3-sigma control limits for the process? In which (if any) of the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subsequent weeks is the process out of control?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 xml:space="preserve">5. Develop specific plans for solving the problems facing Annette </w:t>
      </w:r>
      <w:proofErr w:type="spellStart"/>
      <w:r>
        <w:rPr>
          <w:rFonts w:ascii="TimesNewRomanPSMT" w:hAnsi="TimesNewRomanPSMT" w:cs="TimesNewRomanPSMT"/>
          <w:color w:val="231F20"/>
          <w:sz w:val="21"/>
          <w:szCs w:val="21"/>
        </w:rPr>
        <w:t>Kluck</w:t>
      </w:r>
      <w:proofErr w:type="spellEnd"/>
      <w:r>
        <w:rPr>
          <w:rFonts w:ascii="TimesNewRomanPSMT" w:hAnsi="TimesNewRomanPSMT" w:cs="TimesNewRomanPSMT"/>
          <w:color w:val="231F20"/>
          <w:sz w:val="21"/>
          <w:szCs w:val="21"/>
        </w:rPr>
        <w:t xml:space="preserve"> that are described on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pages 8-9 of the case under “Measurement Challenges”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6. How would now DAV begin improving the performance of the operation?</w:t>
      </w:r>
    </w:p>
    <w:p w:rsidR="007E5B05" w:rsidRDefault="007E5B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p w:rsidR="005C0A05" w:rsidRDefault="000B08A9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5</w:t>
      </w:r>
      <w:r w:rsidR="005C0A05"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. eBay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1. How would you characterize the service eBay provides?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2. What role do customers play as a co-producer in providing this service?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3. If you were providing an outline to senior management at eBay what needs of buyers and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sellers would you highlight?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4. Given the details in the case, how successful is eBay?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a. Who do you consider its competition?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b. Using what metrics can you compare eBay with its competitors?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5. What are the key threats to its success in the service delivery model going forward?</w:t>
      </w:r>
    </w:p>
    <w:p w:rsidR="007E5B05" w:rsidRDefault="007E5B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p w:rsidR="005C0A05" w:rsidRDefault="000B08A9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6</w:t>
      </w:r>
      <w:r w:rsidR="005C0A05"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. Northwest Airlines and the Detroit Snowstorm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1. Why all this fuss? (The situation resulted in at least four WSJ articles, involvement of a U.S.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Congressman, investigation by the Department of Transportation, lawsuits.)</w:t>
      </w:r>
    </w:p>
    <w:p w:rsidR="005C0A05" w:rsidRDefault="005C0A05" w:rsidP="007E5B0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a. How bad was this situation?</w:t>
      </w:r>
    </w:p>
    <w:p w:rsidR="005C0A05" w:rsidRDefault="005C0A05" w:rsidP="007E5B0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b. How much of what went wrong was inconvenience, how much was safety, how much</w:t>
      </w:r>
    </w:p>
    <w:p w:rsidR="005C0A05" w:rsidRDefault="005C0A05" w:rsidP="007E5B0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was hygiene—and how bad was each component?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2. Exactly what occurred?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3. Did this have to happen? What could NWA have done differently?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4. What should NWA do about this situation?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lastRenderedPageBreak/>
        <w:t>5. Who is responsible, and why? Was the cause of this situation an “act of God” (the weather) or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some organization? If an organization was responsible, which was it?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6. What are the implications of all of the above? (What can the whole episode mean for NWA in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the short and long term?). Linking to Tax and Brown article, link what did NWA attempt to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offer in terms of distributive, interactional and procedural justice?</w:t>
      </w:r>
    </w:p>
    <w:p w:rsidR="007E5B05" w:rsidRDefault="007E5B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p w:rsidR="005C0A05" w:rsidRDefault="000B08A9" w:rsidP="005C0A0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7</w:t>
      </w:r>
      <w:r w:rsidR="005C0A05">
        <w:rPr>
          <w:rFonts w:ascii="TimesNewRomanPS-BoldMT" w:hAnsi="TimesNewRomanPS-BoldMT" w:cs="TimesNewRomanPS-BoldMT"/>
          <w:b/>
          <w:bCs/>
          <w:color w:val="231F20"/>
          <w:sz w:val="21"/>
          <w:szCs w:val="21"/>
        </w:rPr>
        <w:t>. Atlanta Symphony Orchestra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1. What three “keywords” characterize the Atlanta Symphony-Orchestra’s-(ASO) management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model? Why?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2. What is your assessment of the ASO’s service offerings?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3. Has the ASO taken the appropriate approach to broaden and enhance the concert experience?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What are the pros and cons of this approach?</w:t>
      </w:r>
    </w:p>
    <w:p w:rsidR="005C0A05" w:rsidRDefault="005C0A05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>4. In the position of John Sparrow what would you do and why?</w:t>
      </w:r>
    </w:p>
    <w:p w:rsidR="00D22B36" w:rsidRDefault="00D22B36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p w:rsidR="00651AB9" w:rsidRDefault="00814A4C" w:rsidP="00814A4C">
      <w:pPr>
        <w:jc w:val="center"/>
        <w:rPr>
          <w:rFonts w:ascii="TimesNewRomanPSMT" w:hAnsi="TimesNewRomanPSMT" w:cs="TimesNewRomanPSMT"/>
          <w:color w:val="231F20"/>
          <w:sz w:val="21"/>
          <w:szCs w:val="21"/>
        </w:rPr>
      </w:pPr>
      <w:r>
        <w:rPr>
          <w:rFonts w:ascii="TimesNewRomanPSMT" w:hAnsi="TimesNewRomanPSMT" w:cs="TimesNewRomanPSMT"/>
          <w:color w:val="231F20"/>
          <w:sz w:val="21"/>
          <w:szCs w:val="21"/>
        </w:rPr>
        <w:t xml:space="preserve"> Schedule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860"/>
      </w:tblGrid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>Day</w:t>
            </w:r>
          </w:p>
        </w:tc>
        <w:tc>
          <w:tcPr>
            <w:tcW w:w="486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>Topic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0" w:type="dxa"/>
          </w:tcPr>
          <w:p w:rsidR="004633D3" w:rsidRDefault="004633D3" w:rsidP="005433A2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>Introduction</w:t>
            </w:r>
          </w:p>
          <w:p w:rsidR="004633D3" w:rsidRPr="00350F87" w:rsidRDefault="004633D3" w:rsidP="00C2199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Reading: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0" w:type="dxa"/>
          </w:tcPr>
          <w:p w:rsidR="004633D3" w:rsidRDefault="004633D3" w:rsidP="00BA3EB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 xml:space="preserve">Lecture:  </w:t>
            </w:r>
            <w:r>
              <w:rPr>
                <w:rFonts w:ascii="Times New Roman" w:hAnsi="Times New Roman"/>
              </w:rPr>
              <w:t>Introduction</w:t>
            </w:r>
          </w:p>
          <w:p w:rsidR="004633D3" w:rsidRPr="00350F87" w:rsidRDefault="004633D3" w:rsidP="00BA3EB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Readings: papers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60" w:type="dxa"/>
          </w:tcPr>
          <w:p w:rsidR="004633D3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Nature of Services</w:t>
            </w:r>
          </w:p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Readings: papers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60" w:type="dxa"/>
          </w:tcPr>
          <w:p w:rsidR="004633D3" w:rsidRPr="006F19A4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F19A4">
              <w:rPr>
                <w:rFonts w:ascii="Times New Roman" w:hAnsi="Times New Roman"/>
                <w:b/>
              </w:rPr>
              <w:t>Case: Westin Hotel and Resorts</w:t>
            </w:r>
          </w:p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Assignment: Answer case questions; submit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60" w:type="dxa"/>
          </w:tcPr>
          <w:p w:rsidR="004633D3" w:rsidRPr="00350F87" w:rsidRDefault="004633D3" w:rsidP="00930B9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</w:t>
            </w:r>
            <w:r w:rsidR="00D22B36">
              <w:rPr>
                <w:rFonts w:ascii="Times New Roman" w:hAnsi="Times New Roman"/>
              </w:rPr>
              <w:t>Service Redesign</w:t>
            </w:r>
            <w:r>
              <w:rPr>
                <w:rFonts w:ascii="Times New Roman" w:hAnsi="Times New Roman"/>
              </w:rPr>
              <w:t xml:space="preserve"> methodology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60" w:type="dxa"/>
          </w:tcPr>
          <w:p w:rsidR="004633D3" w:rsidRDefault="004633D3" w:rsidP="00113D1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 xml:space="preserve">Lecture: </w:t>
            </w:r>
            <w:r>
              <w:rPr>
                <w:rFonts w:ascii="Times New Roman" w:hAnsi="Times New Roman"/>
              </w:rPr>
              <w:t>New Service Development</w:t>
            </w:r>
          </w:p>
          <w:p w:rsidR="004633D3" w:rsidRPr="00350F87" w:rsidRDefault="004633D3" w:rsidP="00113D1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Readings: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60" w:type="dxa"/>
          </w:tcPr>
          <w:p w:rsidR="004633D3" w:rsidRDefault="004633D3" w:rsidP="00153FD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Service Quality</w:t>
            </w:r>
          </w:p>
          <w:p w:rsidR="004633D3" w:rsidRPr="00350F87" w:rsidRDefault="004633D3" w:rsidP="00153FD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Reading: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60" w:type="dxa"/>
          </w:tcPr>
          <w:p w:rsidR="004633D3" w:rsidRPr="006F19A4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F19A4">
              <w:rPr>
                <w:rFonts w:ascii="Times New Roman" w:hAnsi="Times New Roman"/>
                <w:b/>
              </w:rPr>
              <w:t>Case: Innovation at Progressive</w:t>
            </w:r>
          </w:p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Assignment: Answer case questions; submit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>9</w:t>
            </w:r>
          </w:p>
        </w:tc>
        <w:tc>
          <w:tcPr>
            <w:tcW w:w="4860" w:type="dxa"/>
          </w:tcPr>
          <w:p w:rsidR="004633D3" w:rsidRDefault="004633D3" w:rsidP="004D07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Capacity and Process Analysis 1</w:t>
            </w:r>
          </w:p>
          <w:p w:rsidR="004633D3" w:rsidRDefault="004633D3" w:rsidP="004D07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Reading: posted to Compass</w:t>
            </w:r>
          </w:p>
          <w:p w:rsidR="004633D3" w:rsidRPr="00350F87" w:rsidRDefault="004633D3" w:rsidP="004D07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60" w:type="dxa"/>
          </w:tcPr>
          <w:p w:rsidR="004633D3" w:rsidRDefault="004633D3" w:rsidP="003C491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Submit </w:t>
            </w:r>
            <w:r w:rsidR="00D22B36">
              <w:rPr>
                <w:rFonts w:ascii="Times New Roman" w:hAnsi="Times New Roman"/>
              </w:rPr>
              <w:t>Project 2</w:t>
            </w:r>
            <w:r>
              <w:rPr>
                <w:rFonts w:ascii="Times New Roman" w:hAnsi="Times New Roman"/>
              </w:rPr>
              <w:t xml:space="preserve"> proposal</w:t>
            </w:r>
          </w:p>
          <w:p w:rsidR="004633D3" w:rsidRPr="006F19A4" w:rsidRDefault="004633D3" w:rsidP="001047D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F19A4">
              <w:rPr>
                <w:rFonts w:ascii="Times New Roman" w:hAnsi="Times New Roman"/>
                <w:b/>
              </w:rPr>
              <w:t>Case: Ritz Carlton</w:t>
            </w:r>
          </w:p>
          <w:p w:rsidR="004633D3" w:rsidRPr="00350F87" w:rsidRDefault="004633D3" w:rsidP="00AC2C3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Assignment: Answer case questions; submit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AF38C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60" w:type="dxa"/>
          </w:tcPr>
          <w:p w:rsidR="004633D3" w:rsidRDefault="004633D3" w:rsidP="004D07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Capacity and Process Analysis 2</w:t>
            </w:r>
          </w:p>
          <w:p w:rsidR="004633D3" w:rsidRPr="00350F87" w:rsidRDefault="004633D3" w:rsidP="004D07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Reading: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AF38C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60" w:type="dxa"/>
          </w:tcPr>
          <w:p w:rsidR="004633D3" w:rsidRDefault="004633D3" w:rsidP="004D072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Guest Speaker: To be finalized</w:t>
            </w:r>
          </w:p>
          <w:p w:rsidR="004633D3" w:rsidRPr="006F19A4" w:rsidRDefault="004633D3" w:rsidP="003C491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AF38C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Pr="00350F87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4860" w:type="dxa"/>
          </w:tcPr>
          <w:p w:rsidR="004633D3" w:rsidRDefault="004633D3" w:rsidP="003C491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Submit Case Brief 1 to Compass</w:t>
            </w:r>
          </w:p>
          <w:p w:rsidR="004633D3" w:rsidRPr="00350F87" w:rsidRDefault="004633D3" w:rsidP="003C491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F19A4">
              <w:rPr>
                <w:rFonts w:ascii="Times New Roman" w:hAnsi="Times New Roman"/>
                <w:b/>
              </w:rPr>
              <w:t>Case Brief 1: Orthopedic Clinic discussion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AF38C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60" w:type="dxa"/>
          </w:tcPr>
          <w:p w:rsidR="004633D3" w:rsidRDefault="004633D3" w:rsidP="00A7325A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Managing Capacity and Demand</w:t>
            </w:r>
          </w:p>
          <w:p w:rsidR="004633D3" w:rsidRPr="00350F87" w:rsidRDefault="004633D3" w:rsidP="003C491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Midterm Quiz 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860" w:type="dxa"/>
          </w:tcPr>
          <w:p w:rsidR="004633D3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Statistical Process Control (SPC)</w:t>
            </w:r>
          </w:p>
          <w:p w:rsidR="004633D3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Reading: posted to Compass</w:t>
            </w:r>
          </w:p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Submit </w:t>
            </w:r>
            <w:proofErr w:type="spellStart"/>
            <w:r>
              <w:rPr>
                <w:rFonts w:ascii="Times New Roman" w:hAnsi="Times New Roman"/>
              </w:rPr>
              <w:t>WtA</w:t>
            </w:r>
            <w:proofErr w:type="spellEnd"/>
            <w:r>
              <w:rPr>
                <w:rFonts w:ascii="Times New Roman" w:hAnsi="Times New Roman"/>
              </w:rPr>
              <w:t xml:space="preserve"> survey plans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860" w:type="dxa"/>
          </w:tcPr>
          <w:p w:rsidR="004633D3" w:rsidRPr="006F19A4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F19A4">
              <w:rPr>
                <w:rFonts w:ascii="Times New Roman" w:hAnsi="Times New Roman"/>
                <w:b/>
              </w:rPr>
              <w:t xml:space="preserve">Case: DAV (Deutsche </w:t>
            </w:r>
            <w:proofErr w:type="spellStart"/>
            <w:r w:rsidRPr="006F19A4">
              <w:rPr>
                <w:rFonts w:ascii="Times New Roman" w:hAnsi="Times New Roman"/>
                <w:b/>
              </w:rPr>
              <w:t>Allgemeinversicherung</w:t>
            </w:r>
            <w:proofErr w:type="spellEnd"/>
            <w:r w:rsidRPr="006F19A4">
              <w:rPr>
                <w:rFonts w:ascii="Times New Roman" w:hAnsi="Times New Roman"/>
                <w:b/>
              </w:rPr>
              <w:t>)</w:t>
            </w:r>
          </w:p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Assignment: Answer case questions; submit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>1</w:t>
            </w:r>
            <w:r w:rsidR="006533FF">
              <w:rPr>
                <w:rFonts w:ascii="Times New Roman" w:hAnsi="Times New Roman"/>
              </w:rPr>
              <w:t>7</w:t>
            </w:r>
          </w:p>
        </w:tc>
        <w:tc>
          <w:tcPr>
            <w:tcW w:w="4860" w:type="dxa"/>
          </w:tcPr>
          <w:p w:rsidR="004633D3" w:rsidRDefault="004633D3" w:rsidP="00922D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F19A4">
              <w:rPr>
                <w:rFonts w:ascii="Times New Roman" w:hAnsi="Times New Roman"/>
                <w:b/>
              </w:rPr>
              <w:t>Case: A</w:t>
            </w:r>
            <w:r>
              <w:rPr>
                <w:rFonts w:ascii="Times New Roman" w:hAnsi="Times New Roman"/>
                <w:b/>
              </w:rPr>
              <w:t>tlanta Symphony Orchestra</w:t>
            </w:r>
          </w:p>
          <w:p w:rsidR="004633D3" w:rsidRDefault="004633D3" w:rsidP="00922D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Assignment: Answer case questions; submit to Compass</w:t>
            </w:r>
          </w:p>
          <w:p w:rsidR="004633D3" w:rsidRDefault="00D22B36" w:rsidP="00922D6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Guest Speaker: </w:t>
            </w:r>
            <w:bookmarkStart w:id="0" w:name="_GoBack"/>
            <w:bookmarkEnd w:id="0"/>
            <w:r w:rsidR="004633D3">
              <w:rPr>
                <w:rFonts w:ascii="Times New Roman" w:hAnsi="Times New Roman"/>
              </w:rPr>
              <w:t>John Sparrow Talk</w:t>
            </w:r>
            <w:r>
              <w:rPr>
                <w:rFonts w:ascii="Times New Roman" w:hAnsi="Times New Roman"/>
              </w:rPr>
              <w:t xml:space="preserve"> (Zoom)</w:t>
            </w:r>
          </w:p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>1</w:t>
            </w:r>
            <w:r w:rsidR="006533FF">
              <w:rPr>
                <w:rFonts w:ascii="Times New Roman" w:hAnsi="Times New Roman"/>
              </w:rPr>
              <w:t>8</w:t>
            </w:r>
          </w:p>
        </w:tc>
        <w:tc>
          <w:tcPr>
            <w:tcW w:w="4860" w:type="dxa"/>
          </w:tcPr>
          <w:p w:rsidR="004633D3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Technology Based Delivery</w:t>
            </w:r>
          </w:p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Readings: posted to Compass</w:t>
            </w:r>
          </w:p>
        </w:tc>
      </w:tr>
      <w:tr w:rsidR="004633D3" w:rsidRPr="00350F87" w:rsidTr="009516E5">
        <w:trPr>
          <w:jc w:val="center"/>
        </w:trPr>
        <w:tc>
          <w:tcPr>
            <w:tcW w:w="720" w:type="dxa"/>
          </w:tcPr>
          <w:p w:rsidR="004633D3" w:rsidRPr="00350F87" w:rsidRDefault="006533FF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860" w:type="dxa"/>
            <w:shd w:val="clear" w:color="auto" w:fill="auto"/>
          </w:tcPr>
          <w:p w:rsidR="004633D3" w:rsidRPr="006F19A4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F19A4">
              <w:rPr>
                <w:rFonts w:ascii="Times New Roman" w:hAnsi="Times New Roman"/>
                <w:b/>
              </w:rPr>
              <w:t>Case: eBay</w:t>
            </w:r>
          </w:p>
          <w:p w:rsidR="004633D3" w:rsidRPr="00350F87" w:rsidRDefault="004633D3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Assignment: Answer case questions; submit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860" w:type="dxa"/>
          </w:tcPr>
          <w:p w:rsidR="004633D3" w:rsidRPr="00350F87" w:rsidRDefault="00D22B36" w:rsidP="00F721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2</w:t>
            </w:r>
            <w:r w:rsidR="004633D3">
              <w:rPr>
                <w:rFonts w:ascii="Times New Roman" w:hAnsi="Times New Roman"/>
              </w:rPr>
              <w:t xml:space="preserve"> individual group meetings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860" w:type="dxa"/>
          </w:tcPr>
          <w:p w:rsidR="004633D3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50F87">
              <w:rPr>
                <w:rFonts w:ascii="Times New Roman" w:hAnsi="Times New Roman"/>
              </w:rPr>
              <w:t xml:space="preserve">Lecture: </w:t>
            </w:r>
            <w:r>
              <w:rPr>
                <w:rFonts w:ascii="Times New Roman" w:hAnsi="Times New Roman"/>
              </w:rPr>
              <w:t>Service Failures and Service Recovery</w:t>
            </w:r>
          </w:p>
          <w:p w:rsidR="004633D3" w:rsidRPr="00350F87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Readings: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860" w:type="dxa"/>
          </w:tcPr>
          <w:p w:rsidR="004633D3" w:rsidRPr="006F19A4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F19A4">
              <w:rPr>
                <w:rFonts w:ascii="Times New Roman" w:hAnsi="Times New Roman"/>
                <w:b/>
              </w:rPr>
              <w:t>Case: Northwest Airlines</w:t>
            </w:r>
          </w:p>
          <w:p w:rsidR="004633D3" w:rsidRPr="00350F87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Assignment: Answer case questions; submit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860" w:type="dxa"/>
          </w:tcPr>
          <w:p w:rsidR="004633D3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Service Profit Chain</w:t>
            </w:r>
          </w:p>
          <w:p w:rsidR="004633D3" w:rsidRPr="00350F87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Reading: posted to Compass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860" w:type="dxa"/>
          </w:tcPr>
          <w:p w:rsidR="004633D3" w:rsidRPr="00350F87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Lecture: Service Facility Location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860" w:type="dxa"/>
          </w:tcPr>
          <w:p w:rsidR="004633D3" w:rsidRDefault="004633D3" w:rsidP="0048375C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 Review and Wrap-up</w:t>
            </w:r>
          </w:p>
          <w:p w:rsidR="004633D3" w:rsidRPr="00350F87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6F19A4">
              <w:rPr>
                <w:rFonts w:ascii="Times New Roman" w:hAnsi="Times New Roman"/>
                <w:b/>
              </w:rPr>
              <w:t>Case Brief 2</w:t>
            </w:r>
            <w:r>
              <w:rPr>
                <w:rFonts w:ascii="Times New Roman" w:hAnsi="Times New Roman"/>
              </w:rPr>
              <w:t xml:space="preserve"> handed out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860" w:type="dxa"/>
          </w:tcPr>
          <w:p w:rsidR="004633D3" w:rsidRPr="00350F87" w:rsidRDefault="00D22B36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2</w:t>
            </w:r>
            <w:r w:rsidR="004633D3">
              <w:rPr>
                <w:rFonts w:ascii="Times New Roman" w:hAnsi="Times New Roman"/>
              </w:rPr>
              <w:t xml:space="preserve"> presentations</w:t>
            </w:r>
          </w:p>
        </w:tc>
      </w:tr>
      <w:tr w:rsidR="004633D3" w:rsidRPr="00350F87" w:rsidTr="001047D4">
        <w:trPr>
          <w:jc w:val="center"/>
        </w:trPr>
        <w:tc>
          <w:tcPr>
            <w:tcW w:w="720" w:type="dxa"/>
          </w:tcPr>
          <w:p w:rsidR="004633D3" w:rsidRPr="00350F87" w:rsidRDefault="006533FF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60" w:type="dxa"/>
          </w:tcPr>
          <w:p w:rsidR="004633D3" w:rsidRPr="00350F87" w:rsidRDefault="004633D3" w:rsidP="009516E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Submit Case Brief 2 to Compass</w:t>
            </w:r>
          </w:p>
        </w:tc>
      </w:tr>
    </w:tbl>
    <w:p w:rsidR="00651AB9" w:rsidRDefault="00651AB9" w:rsidP="005C0A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231F20"/>
          <w:sz w:val="21"/>
          <w:szCs w:val="21"/>
        </w:rPr>
      </w:pPr>
    </w:p>
    <w:sectPr w:rsidR="0065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0403"/>
    <w:multiLevelType w:val="hybridMultilevel"/>
    <w:tmpl w:val="CACEF026"/>
    <w:lvl w:ilvl="0" w:tplc="79368E04">
      <w:start w:val="2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404A0"/>
    <w:multiLevelType w:val="hybridMultilevel"/>
    <w:tmpl w:val="1966D6BA"/>
    <w:lvl w:ilvl="0" w:tplc="2324A80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D7023"/>
    <w:multiLevelType w:val="singleLevel"/>
    <w:tmpl w:val="79345D4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</w:rPr>
    </w:lvl>
  </w:abstractNum>
  <w:abstractNum w:abstractNumId="3" w15:restartNumberingAfterBreak="0">
    <w:nsid w:val="5A23383E"/>
    <w:multiLevelType w:val="hybridMultilevel"/>
    <w:tmpl w:val="D75A1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D80"/>
    <w:rsid w:val="00001D80"/>
    <w:rsid w:val="00030E8B"/>
    <w:rsid w:val="000315A8"/>
    <w:rsid w:val="00053BEC"/>
    <w:rsid w:val="00081387"/>
    <w:rsid w:val="000B08A9"/>
    <w:rsid w:val="000B2593"/>
    <w:rsid w:val="000E62F7"/>
    <w:rsid w:val="001047D4"/>
    <w:rsid w:val="00113D1F"/>
    <w:rsid w:val="001452A6"/>
    <w:rsid w:val="00153FDE"/>
    <w:rsid w:val="00291163"/>
    <w:rsid w:val="00295E3B"/>
    <w:rsid w:val="00297478"/>
    <w:rsid w:val="002A6DCE"/>
    <w:rsid w:val="003519E3"/>
    <w:rsid w:val="00352ED2"/>
    <w:rsid w:val="00381B63"/>
    <w:rsid w:val="003C491F"/>
    <w:rsid w:val="004633D3"/>
    <w:rsid w:val="0048375C"/>
    <w:rsid w:val="004868B8"/>
    <w:rsid w:val="004B0378"/>
    <w:rsid w:val="004D0723"/>
    <w:rsid w:val="004D20B8"/>
    <w:rsid w:val="004D78BF"/>
    <w:rsid w:val="004F2BE1"/>
    <w:rsid w:val="00515687"/>
    <w:rsid w:val="005433A2"/>
    <w:rsid w:val="00584E5C"/>
    <w:rsid w:val="00593E1D"/>
    <w:rsid w:val="005B1D0D"/>
    <w:rsid w:val="005C0A05"/>
    <w:rsid w:val="00604E55"/>
    <w:rsid w:val="00651AB9"/>
    <w:rsid w:val="006533FF"/>
    <w:rsid w:val="006968B2"/>
    <w:rsid w:val="006A7602"/>
    <w:rsid w:val="006B2210"/>
    <w:rsid w:val="006E4108"/>
    <w:rsid w:val="006F19A4"/>
    <w:rsid w:val="006F474C"/>
    <w:rsid w:val="006F6AB9"/>
    <w:rsid w:val="007238A7"/>
    <w:rsid w:val="00780FB7"/>
    <w:rsid w:val="00794DCC"/>
    <w:rsid w:val="007B6CC1"/>
    <w:rsid w:val="007D57F1"/>
    <w:rsid w:val="007E5B05"/>
    <w:rsid w:val="007F02DA"/>
    <w:rsid w:val="00814A4C"/>
    <w:rsid w:val="00893982"/>
    <w:rsid w:val="008B03CC"/>
    <w:rsid w:val="008C7BBA"/>
    <w:rsid w:val="008F3564"/>
    <w:rsid w:val="00900716"/>
    <w:rsid w:val="00922D6E"/>
    <w:rsid w:val="00930B90"/>
    <w:rsid w:val="0093796E"/>
    <w:rsid w:val="009516E5"/>
    <w:rsid w:val="009A5865"/>
    <w:rsid w:val="00A12FE4"/>
    <w:rsid w:val="00A16D55"/>
    <w:rsid w:val="00A40997"/>
    <w:rsid w:val="00A7325A"/>
    <w:rsid w:val="00A7746B"/>
    <w:rsid w:val="00A84517"/>
    <w:rsid w:val="00A943A3"/>
    <w:rsid w:val="00AC2C3B"/>
    <w:rsid w:val="00AF38CC"/>
    <w:rsid w:val="00AF6D70"/>
    <w:rsid w:val="00BA28E7"/>
    <w:rsid w:val="00BA3EBA"/>
    <w:rsid w:val="00BA4AFD"/>
    <w:rsid w:val="00BE67EB"/>
    <w:rsid w:val="00C21990"/>
    <w:rsid w:val="00C450A7"/>
    <w:rsid w:val="00C533DE"/>
    <w:rsid w:val="00C73E40"/>
    <w:rsid w:val="00CC75C4"/>
    <w:rsid w:val="00D22B36"/>
    <w:rsid w:val="00D472AB"/>
    <w:rsid w:val="00D6179C"/>
    <w:rsid w:val="00D655F3"/>
    <w:rsid w:val="00D86778"/>
    <w:rsid w:val="00D94149"/>
    <w:rsid w:val="00DA1DF2"/>
    <w:rsid w:val="00DA652F"/>
    <w:rsid w:val="00DF3076"/>
    <w:rsid w:val="00E044CB"/>
    <w:rsid w:val="00E0519C"/>
    <w:rsid w:val="00E24D81"/>
    <w:rsid w:val="00EB5294"/>
    <w:rsid w:val="00EC4B7B"/>
    <w:rsid w:val="00EC5D7D"/>
    <w:rsid w:val="00EF52D4"/>
    <w:rsid w:val="00F57678"/>
    <w:rsid w:val="00F72131"/>
    <w:rsid w:val="00FC462E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01ED9"/>
  <w15:chartTrackingRefBased/>
  <w15:docId w15:val="{D8C6896A-7F59-4CE4-9E1D-6B63961A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1AB9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047D4"/>
    <w:pPr>
      <w:tabs>
        <w:tab w:val="left" w:pos="-1440"/>
        <w:tab w:val="left" w:pos="-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360" w:lineRule="auto"/>
      <w:ind w:left="27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47D4"/>
    <w:rPr>
      <w:rFonts w:ascii="Times" w:eastAsia="Times New Roman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047D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30"/>
        <w:tab w:val="left" w:pos="7920"/>
        <w:tab w:val="left" w:pos="8640"/>
        <w:tab w:val="left" w:pos="9360"/>
        <w:tab w:val="left" w:pos="10080"/>
        <w:tab w:val="left" w:pos="10800"/>
      </w:tabs>
      <w:spacing w:after="0" w:line="360" w:lineRule="auto"/>
      <w:jc w:val="center"/>
    </w:pPr>
    <w:rPr>
      <w:rFonts w:ascii="Times" w:eastAsia="Times New Roman" w:hAnsi="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047D4"/>
    <w:rPr>
      <w:rFonts w:ascii="Times" w:eastAsia="Times New Roman" w:hAnsi="Times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1047D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047D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104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047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7D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6179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7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11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Venkateswaran, Venkatasubramanian</dc:creator>
  <cp:keywords/>
  <dc:description/>
  <cp:lastModifiedBy>Venkateswaran, Venkat</cp:lastModifiedBy>
  <cp:revision>5</cp:revision>
  <dcterms:created xsi:type="dcterms:W3CDTF">2020-10-26T17:13:00Z</dcterms:created>
  <dcterms:modified xsi:type="dcterms:W3CDTF">2020-10-26T17:59:00Z</dcterms:modified>
</cp:coreProperties>
</file>